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54F" w:rsidRPr="005C21A1" w:rsidRDefault="00B6354F" w:rsidP="00B6354F">
      <w:pPr>
        <w:jc w:val="center"/>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GİZLİLİK SÖZLEŞMESİ</w:t>
      </w:r>
    </w:p>
    <w:p w:rsidR="00B6354F" w:rsidRPr="005C21A1" w:rsidRDefault="00B6354F" w:rsidP="00B6354F">
      <w:pPr>
        <w:jc w:val="center"/>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KİŞİSEL VERİLERİN KORUNMASI KANUNU (6698 S.K.) KAPSAMI VE GENEL GİZLİLİK SÖZLEŞMESİ</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 1- TARAFLAR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 xml:space="preserve">Bir tarafta </w:t>
      </w:r>
      <w:proofErr w:type="spellStart"/>
      <w:r w:rsidRPr="00B6354F">
        <w:rPr>
          <w:rFonts w:ascii="Times New Roman" w:eastAsia="Times New Roman" w:hAnsi="Times New Roman" w:cs="Times New Roman"/>
          <w:color w:val="000000" w:themeColor="text1"/>
          <w:sz w:val="20"/>
          <w:szCs w:val="20"/>
          <w:lang w:eastAsia="tr-TR"/>
        </w:rPr>
        <w:t>Gallardo</w:t>
      </w:r>
      <w:proofErr w:type="spellEnd"/>
      <w:r w:rsidRPr="00B6354F">
        <w:rPr>
          <w:rFonts w:ascii="Times New Roman" w:eastAsia="Times New Roman" w:hAnsi="Times New Roman" w:cs="Times New Roman"/>
          <w:color w:val="000000" w:themeColor="text1"/>
          <w:sz w:val="20"/>
          <w:szCs w:val="20"/>
          <w:lang w:eastAsia="tr-TR"/>
        </w:rPr>
        <w:t xml:space="preserve"> İnşaat Gayrimenkul Limited Şirketi</w:t>
      </w:r>
      <w:r w:rsidRPr="005C21A1">
        <w:rPr>
          <w:rFonts w:ascii="Times New Roman" w:eastAsia="Times New Roman" w:hAnsi="Times New Roman" w:cs="Times New Roman"/>
          <w:color w:val="000000" w:themeColor="text1"/>
          <w:sz w:val="20"/>
          <w:szCs w:val="20"/>
          <w:lang w:eastAsia="tr-TR"/>
        </w:rPr>
        <w:t>’nin (bu sözleşmede kısaca “Şirket” olarak anılacaktır.) Diğer tarafta, veri paylaşılan, müşteriler ve tedarikçiler ile ürün servisleri, distribütörler, bayiler, çalışanlar, çalışan adayları, servis sağlayıcıları ve danışmanlar (bu sözleşmede kısaca “ÇALIŞANLAR VE DİĞERLERİ” olarak anılacaktır.) aralarında aşağıdaki koşullarda anlaşmışlardır.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2- SÖZLEŞMENİN KONUSU</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Taraflar arasında akdedilen yazılı veya sözlü hizmet sözleşmesinin (bundan böyle “HİZMET SÖZLEŞMESİ” olarak anılacaktır.) eki niteliğindeki işbu sözleşmenin konusu, hizmet sözleşmesi kapsamında çalışanlar ve diğerleri tarafından yürütülen çalışmalar ile ilgili olarak çalışanlar ve diğerlerine, şirket (Veri Sorumlusu) tarafından verilen bilgi ve belgelerin şirketin onayı veya çalışanlar ve diğerlerinin açık rıza beyanı olmaksızın kişisel verilerin, özel nitelikli kişisel verilerin ve genel verilerin herhangi bir üçüncü gerçek ve/veya tüzel kişiye açıklanmasının, erişmesinin, verilmesinin, bulundurulan verilerin gerekli ölçüde güvenliğinin sağlanmasının, sızdırılmasının önüne geçecek olan gizliliğin sınırlarının ve koşullarının belirlenmesidir.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3- GİZLİ BİLGİNİN TANIMI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 xml:space="preserve">Kişisel Verilerin Korunması Kanunu kapsamında tanımını bulan kişiye ait bilgiler ile kimliği belirli veya belirlenebilir gerçek kişiye ilişkin her türlü bilgi, kimliği belirli veya belirlenebilir gerçek kişiye ilişkin özel nitelikli veriler her türlü sağlık bilgisi,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5C21A1">
        <w:rPr>
          <w:rFonts w:ascii="Times New Roman" w:eastAsia="Times New Roman" w:hAnsi="Times New Roman" w:cs="Times New Roman"/>
          <w:color w:val="000000" w:themeColor="text1"/>
          <w:sz w:val="20"/>
          <w:szCs w:val="20"/>
          <w:lang w:eastAsia="tr-TR"/>
        </w:rPr>
        <w:t>biyometrik</w:t>
      </w:r>
      <w:proofErr w:type="spellEnd"/>
      <w:r w:rsidRPr="005C21A1">
        <w:rPr>
          <w:rFonts w:ascii="Times New Roman" w:eastAsia="Times New Roman" w:hAnsi="Times New Roman" w:cs="Times New Roman"/>
          <w:color w:val="000000" w:themeColor="text1"/>
          <w:sz w:val="20"/>
          <w:szCs w:val="20"/>
          <w:lang w:eastAsia="tr-TR"/>
        </w:rPr>
        <w:t xml:space="preserve"> ve genetik veriler gizli bilgi kapsamına girmektedir.</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 4- TARAFLARIN YÜKÜMLÜLÜKLERİ</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4.1. Şirket, hizmet sözleşmesi kapsamında çalışanlara işini tam ve eksiksiz olarak yerine getirebilmesi ve gerekli her türlü bilgi ve belgeyi çalışanlara vermeyi taahhüt eder.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4.2. Şirket, çalışanlara ve diğerlerine açıklanan gizli bilgilerin eksik ya da hatalı olması sebebiyle ortaya çıkabilecek olan eksiklik, gecikme veya aksaklıklardan dolayı çalışanların sorumlu tutulamayacağını kabul ve taahhüt eder.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4.3 Çalışanlara ve diğerlerine</w:t>
      </w:r>
      <w:r>
        <w:rPr>
          <w:rFonts w:ascii="Times New Roman" w:eastAsia="Times New Roman" w:hAnsi="Times New Roman" w:cs="Times New Roman"/>
          <w:color w:val="000000" w:themeColor="text1"/>
          <w:sz w:val="20"/>
          <w:szCs w:val="20"/>
          <w:lang w:eastAsia="tr-TR"/>
        </w:rPr>
        <w:t>,</w:t>
      </w:r>
      <w:r w:rsidRPr="005C21A1">
        <w:rPr>
          <w:rFonts w:ascii="Times New Roman" w:eastAsia="Times New Roman" w:hAnsi="Times New Roman" w:cs="Times New Roman"/>
          <w:color w:val="000000" w:themeColor="text1"/>
          <w:sz w:val="20"/>
          <w:szCs w:val="20"/>
          <w:lang w:eastAsia="tr-TR"/>
        </w:rPr>
        <w:t xml:space="preserve"> şirket tarafından kendisine açıklanan bilgi ve belgelerin gizli olduğunu bildiğini ve bu nedenle söz konusu gizli bilgileri sadece kendisinin bileceğini ve işin yerine getirilmesi aşamasında katkıda bulunması muhtemel üçüncü kişi, kurum ya da kuruluşların gizli bilgilerden sadece işin gereği kadar haberdar olacaklarını, işbu bilgi ve belgelerin hiçbir şekilde şirketin yazılı izni olmaksızın üçüncü gerçek ve/veya tüzel kişi ve kuruluşlara çalışma amaçları dışında açıklanmayacağını kabul ve taahhüt eder.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4.4. Çalışanlar ve diğerleri, işin yerine getirilmesi aşamasında katkıda bulunması muhtemel üçüncü kişi, kurum ya da kuruluşların işbu sözleşmede öngörülen gizlilik ilkelerine aykırı davranışlarından dolayı sorumlu olacağını, söz konusu üçüncü kişi, kurum ya da kuruluşların gizlilik ilkelerine riayet edeceğini, aykırılık hallerinden haberdar olduğu takdirde, derhal ve yazılı olarak şirkete söz konusu aykırılık durumunu bildireceğini kabul ve taahhüt eder.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 xml:space="preserve">4.5. Gizli bilgilerin ve kişisel verilerin işbu sözleşmeye aykırı olarak açıklanması, erişilmesine </w:t>
      </w:r>
      <w:proofErr w:type="gramStart"/>
      <w:r w:rsidRPr="005C21A1">
        <w:rPr>
          <w:rFonts w:ascii="Times New Roman" w:eastAsia="Times New Roman" w:hAnsi="Times New Roman" w:cs="Times New Roman"/>
          <w:color w:val="000000" w:themeColor="text1"/>
          <w:sz w:val="20"/>
          <w:szCs w:val="20"/>
          <w:lang w:eastAsia="tr-TR"/>
        </w:rPr>
        <w:t>imkan</w:t>
      </w:r>
      <w:proofErr w:type="gramEnd"/>
      <w:r w:rsidRPr="005C21A1">
        <w:rPr>
          <w:rFonts w:ascii="Times New Roman" w:eastAsia="Times New Roman" w:hAnsi="Times New Roman" w:cs="Times New Roman"/>
          <w:color w:val="000000" w:themeColor="text1"/>
          <w:sz w:val="20"/>
          <w:szCs w:val="20"/>
          <w:lang w:eastAsia="tr-TR"/>
        </w:rPr>
        <w:t xml:space="preserve"> sağlanması, sızdırılması veya benzeri davranışlarla bilgilerin ele geçirilmesine ortam sağlanması halinde şirkete, masrafları çalışanlara ait olmak kaydıyla tüm yasal yollara başvurma ve uğradığı her türlü zararın </w:t>
      </w:r>
      <w:proofErr w:type="spellStart"/>
      <w:r w:rsidRPr="005C21A1">
        <w:rPr>
          <w:rFonts w:ascii="Times New Roman" w:eastAsia="Times New Roman" w:hAnsi="Times New Roman" w:cs="Times New Roman"/>
          <w:color w:val="000000" w:themeColor="text1"/>
          <w:sz w:val="20"/>
          <w:szCs w:val="20"/>
          <w:lang w:eastAsia="tr-TR"/>
        </w:rPr>
        <w:t>giderimini</w:t>
      </w:r>
      <w:proofErr w:type="spellEnd"/>
      <w:r w:rsidRPr="005C21A1">
        <w:rPr>
          <w:rFonts w:ascii="Times New Roman" w:eastAsia="Times New Roman" w:hAnsi="Times New Roman" w:cs="Times New Roman"/>
          <w:color w:val="000000" w:themeColor="text1"/>
          <w:sz w:val="20"/>
          <w:szCs w:val="20"/>
          <w:lang w:eastAsia="tr-TR"/>
        </w:rPr>
        <w:t xml:space="preserve"> çalışanlardan ve diğerlerinden talep etme hakkına sahiptir.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Default="00B6354F" w:rsidP="00B6354F">
      <w:pPr>
        <w:jc w:val="both"/>
        <w:rPr>
          <w:rFonts w:ascii="Times New Roman" w:eastAsia="Times New Roman" w:hAnsi="Times New Roman" w:cs="Times New Roman"/>
          <w:color w:val="000000" w:themeColor="text1"/>
          <w:sz w:val="20"/>
          <w:szCs w:val="20"/>
          <w:lang w:eastAsia="tr-TR"/>
        </w:rPr>
      </w:pPr>
    </w:p>
    <w:p w:rsidR="00B6354F" w:rsidRDefault="00B6354F" w:rsidP="00B6354F">
      <w:pPr>
        <w:jc w:val="both"/>
        <w:rPr>
          <w:rFonts w:ascii="Times New Roman" w:eastAsia="Times New Roman" w:hAnsi="Times New Roman" w:cs="Times New Roman"/>
          <w:color w:val="000000" w:themeColor="text1"/>
          <w:sz w:val="20"/>
          <w:szCs w:val="20"/>
          <w:lang w:eastAsia="tr-TR"/>
        </w:rPr>
      </w:pPr>
    </w:p>
    <w:p w:rsidR="00B6354F"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lastRenderedPageBreak/>
        <w:t>5- SÜRE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5.1. Hizmet sözleşmesinin eki niteliğindeki işbu sözleşme, taraflarca imzalandığı tarihte yürürlüğe girecek olup, işbu sözleşmeden doğan yükümlülükler hizmet/iş sözleşmesinin geçerliliğini koruduğu müddetçe devam edecektir. Ayrıca İlgili mevzuat ve kanunlar göz önünde bulundurularak belirlenen veri saklama süreleri boyunca tarafların, kişisel verilerin korunmasına yönelik yükümlülükleri de devam edecektir.</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5.2. Hizmet sözleşmesinin sona ermesi halinde dahi işbu sözleşme, hizmet sözleşmesinin sona erme tarihinden itibaren işletmeye ve ürünlere ait bilgiler ile kişisel verilerin anonim hale getirilmiş olanları ve şirketin izni olan bilgiler hariç ve kişisel veri sahibinin rızası hariç kişisel verilerin süresiz olarak gizliliği ve korunması olarak geçerliliğini koruyacaktır.</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 6- SÖZLEŞME DEĞİŞİKLİĞİ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İşbu sözleşme taraflarca daha önce özellikle gizlilik konusunda yapılmış olabilecek yazılı ve/veya sözlü tüm sözleşmelerin (burada sayılmamış bilgiler ve patent ve benzeri buluş sözleşmeleri hariç) yerine geçer. Sözleşme değişiklikleri ancak yazılı yapılabilir.</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 7- TEBLİGAT</w:t>
      </w:r>
      <w:r w:rsidRPr="005C21A1">
        <w:rPr>
          <w:rFonts w:ascii="Times New Roman" w:eastAsia="Times New Roman" w:hAnsi="Times New Roman" w:cs="Times New Roman"/>
          <w:color w:val="000000" w:themeColor="text1"/>
          <w:sz w:val="20"/>
          <w:szCs w:val="20"/>
          <w:lang w:eastAsia="tr-TR"/>
        </w:rPr>
        <w:t>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Tarafların işbu sözleşmenin atıfta bulunduğu sözleşmelerde, belge ve metinlerde belirttikleri adresleri tebligata elverişli adresleri olup herhangi bir değişiklik karşı tarafa yazılı olarak bildirilmemiş bulundukça bu adreslere yöneltilecek tebligatlar hukuken geçerli addolunacaktır.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b/>
          <w:bCs/>
          <w:color w:val="000000" w:themeColor="text1"/>
          <w:sz w:val="20"/>
          <w:szCs w:val="20"/>
          <w:lang w:eastAsia="tr-TR"/>
        </w:rPr>
        <w:t>8- YÜRÜRLÜK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r w:rsidRPr="005C21A1">
        <w:rPr>
          <w:rFonts w:ascii="Times New Roman" w:eastAsia="Times New Roman" w:hAnsi="Times New Roman" w:cs="Times New Roman"/>
          <w:color w:val="000000" w:themeColor="text1"/>
          <w:sz w:val="20"/>
          <w:szCs w:val="20"/>
          <w:lang w:eastAsia="tr-TR"/>
        </w:rPr>
        <w:t>İşbu sözleşme 8 (sekiz) maddeden oluşmakta olup taraflar arasında düzenlenmiş özgür iradeleriyle okunup kabul edilmiştir.</w:t>
      </w:r>
      <w:r>
        <w:rPr>
          <w:rFonts w:ascii="Times New Roman" w:eastAsia="Times New Roman" w:hAnsi="Times New Roman" w:cs="Times New Roman"/>
          <w:color w:val="000000" w:themeColor="text1"/>
          <w:sz w:val="20"/>
          <w:szCs w:val="20"/>
          <w:lang w:eastAsia="tr-TR"/>
        </w:rPr>
        <w:t xml:space="preserve"> …../…./……….</w:t>
      </w:r>
    </w:p>
    <w:p w:rsidR="00B6354F" w:rsidRPr="005C21A1" w:rsidRDefault="00B6354F" w:rsidP="00B6354F">
      <w:pPr>
        <w:jc w:val="both"/>
        <w:rPr>
          <w:rFonts w:ascii="Times New Roman" w:eastAsia="Times New Roman" w:hAnsi="Times New Roman" w:cs="Times New Roman"/>
          <w:color w:val="000000" w:themeColor="text1"/>
          <w:sz w:val="20"/>
          <w:szCs w:val="20"/>
          <w:lang w:eastAsia="tr-TR"/>
        </w:rPr>
      </w:pPr>
    </w:p>
    <w:p w:rsidR="00B6354F" w:rsidRPr="005C21A1" w:rsidRDefault="00B6354F" w:rsidP="00B6354F">
      <w:pPr>
        <w:jc w:val="both"/>
        <w:rPr>
          <w:rFonts w:ascii="Times New Roman" w:hAnsi="Times New Roman" w:cs="Times New Roman"/>
          <w:color w:val="000000" w:themeColor="text1"/>
          <w:sz w:val="20"/>
          <w:szCs w:val="20"/>
        </w:rPr>
      </w:pPr>
    </w:p>
    <w:p w:rsidR="00B6354F" w:rsidRPr="005C21A1" w:rsidRDefault="00B6354F" w:rsidP="00B6354F">
      <w:pPr>
        <w:jc w:val="both"/>
        <w:rPr>
          <w:rFonts w:ascii="Times New Roman" w:hAnsi="Times New Roman" w:cs="Times New Roman"/>
          <w:color w:val="000000" w:themeColor="text1"/>
          <w:sz w:val="20"/>
          <w:szCs w:val="20"/>
        </w:rPr>
      </w:pPr>
    </w:p>
    <w:p w:rsidR="00B6354F" w:rsidRPr="005C21A1" w:rsidRDefault="00B6354F" w:rsidP="00B6354F">
      <w:pPr>
        <w:jc w:val="both"/>
        <w:rPr>
          <w:rFonts w:ascii="Times New Roman" w:hAnsi="Times New Roman" w:cs="Times New Roman"/>
          <w:color w:val="000000" w:themeColor="text1"/>
          <w:sz w:val="20"/>
          <w:szCs w:val="20"/>
        </w:rPr>
      </w:pPr>
    </w:p>
    <w:p w:rsidR="00B6354F" w:rsidRPr="005C21A1" w:rsidRDefault="00B6354F" w:rsidP="00B6354F">
      <w:pPr>
        <w:jc w:val="right"/>
        <w:rPr>
          <w:rFonts w:ascii="Times New Roman" w:hAnsi="Times New Roman" w:cs="Times New Roman"/>
          <w:color w:val="000000" w:themeColor="text1"/>
          <w:sz w:val="20"/>
          <w:szCs w:val="20"/>
        </w:rPr>
      </w:pPr>
      <w:r w:rsidRPr="005C21A1">
        <w:rPr>
          <w:rFonts w:ascii="Times New Roman" w:hAnsi="Times New Roman" w:cs="Times New Roman"/>
          <w:color w:val="000000" w:themeColor="text1"/>
          <w:sz w:val="20"/>
          <w:szCs w:val="20"/>
        </w:rPr>
        <w:t xml:space="preserve">Ad </w:t>
      </w:r>
      <w:proofErr w:type="spellStart"/>
      <w:proofErr w:type="gramStart"/>
      <w:r w:rsidRPr="005C21A1">
        <w:rPr>
          <w:rFonts w:ascii="Times New Roman" w:hAnsi="Times New Roman" w:cs="Times New Roman"/>
          <w:color w:val="000000" w:themeColor="text1"/>
          <w:sz w:val="20"/>
          <w:szCs w:val="20"/>
        </w:rPr>
        <w:t>Soyad</w:t>
      </w:r>
      <w:proofErr w:type="spellEnd"/>
      <w:r w:rsidRPr="005C21A1">
        <w:rPr>
          <w:rFonts w:ascii="Times New Roman" w:hAnsi="Times New Roman" w:cs="Times New Roman"/>
          <w:color w:val="000000" w:themeColor="text1"/>
          <w:sz w:val="20"/>
          <w:szCs w:val="20"/>
        </w:rPr>
        <w:t>(</w:t>
      </w:r>
      <w:proofErr w:type="gramEnd"/>
      <w:r w:rsidRPr="005C21A1">
        <w:rPr>
          <w:rFonts w:ascii="Times New Roman" w:hAnsi="Times New Roman" w:cs="Times New Roman"/>
          <w:color w:val="000000" w:themeColor="text1"/>
          <w:sz w:val="20"/>
          <w:szCs w:val="20"/>
        </w:rPr>
        <w:t>Firma Kaşesi)</w:t>
      </w:r>
    </w:p>
    <w:p w:rsidR="00B6354F" w:rsidRPr="005C21A1" w:rsidRDefault="00B6354F" w:rsidP="00B6354F">
      <w:pPr>
        <w:jc w:val="right"/>
        <w:rPr>
          <w:rFonts w:ascii="Times New Roman" w:hAnsi="Times New Roman" w:cs="Times New Roman"/>
          <w:color w:val="000000" w:themeColor="text1"/>
          <w:sz w:val="20"/>
          <w:szCs w:val="20"/>
        </w:rPr>
      </w:pPr>
      <w:r w:rsidRPr="005C21A1">
        <w:rPr>
          <w:rFonts w:ascii="Times New Roman" w:hAnsi="Times New Roman" w:cs="Times New Roman"/>
          <w:color w:val="000000" w:themeColor="text1"/>
          <w:sz w:val="20"/>
          <w:szCs w:val="20"/>
        </w:rPr>
        <w:t>Adres</w:t>
      </w:r>
    </w:p>
    <w:p w:rsidR="00B6354F" w:rsidRPr="005C21A1" w:rsidRDefault="00B6354F" w:rsidP="00B6354F">
      <w:pPr>
        <w:jc w:val="right"/>
        <w:rPr>
          <w:rFonts w:ascii="Times New Roman" w:hAnsi="Times New Roman" w:cs="Times New Roman"/>
          <w:color w:val="000000" w:themeColor="text1"/>
          <w:sz w:val="20"/>
          <w:szCs w:val="20"/>
        </w:rPr>
      </w:pPr>
      <w:r w:rsidRPr="005C21A1">
        <w:rPr>
          <w:rFonts w:ascii="Times New Roman" w:hAnsi="Times New Roman" w:cs="Times New Roman"/>
          <w:color w:val="000000" w:themeColor="text1"/>
          <w:sz w:val="20"/>
          <w:szCs w:val="20"/>
        </w:rPr>
        <w:t>İmza</w:t>
      </w:r>
    </w:p>
    <w:p w:rsidR="00B6354F" w:rsidRPr="005C21A1" w:rsidRDefault="00B6354F" w:rsidP="00B6354F">
      <w:pPr>
        <w:jc w:val="right"/>
        <w:rPr>
          <w:rFonts w:ascii="Times New Roman" w:hAnsi="Times New Roman" w:cs="Times New Roman"/>
          <w:color w:val="000000" w:themeColor="text1"/>
          <w:sz w:val="20"/>
          <w:szCs w:val="20"/>
        </w:rPr>
      </w:pPr>
    </w:p>
    <w:p w:rsidR="00B6354F" w:rsidRPr="005C21A1" w:rsidRDefault="00B6354F" w:rsidP="00B6354F">
      <w:pPr>
        <w:rPr>
          <w:rFonts w:ascii="Times New Roman" w:hAnsi="Times New Roman" w:cs="Times New Roman"/>
          <w:sz w:val="20"/>
          <w:szCs w:val="20"/>
        </w:rPr>
      </w:pPr>
    </w:p>
    <w:p w:rsidR="00521A2F" w:rsidRDefault="00521A2F"/>
    <w:sectPr w:rsidR="00521A2F">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12870418"/>
      <w:docPartObj>
        <w:docPartGallery w:val="Page Numbers (Bottom of Page)"/>
        <w:docPartUnique/>
      </w:docPartObj>
    </w:sdtPr>
    <w:sdtContent>
      <w:p w:rsidR="00000000" w:rsidRDefault="00000000" w:rsidP="00DC494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000000" w:rsidRDefault="00000000" w:rsidP="00B62B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47636414"/>
      <w:docPartObj>
        <w:docPartGallery w:val="Page Numbers (Bottom of Page)"/>
        <w:docPartUnique/>
      </w:docPartObj>
    </w:sdtPr>
    <w:sdtContent>
      <w:p w:rsidR="00000000" w:rsidRDefault="00000000" w:rsidP="00DC494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000000" w:rsidRDefault="00000000" w:rsidP="00B62BF3">
    <w:pPr>
      <w:pStyle w:val="AltBilgi"/>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F"/>
    <w:rsid w:val="00275BD9"/>
    <w:rsid w:val="00521A2F"/>
    <w:rsid w:val="00647AC8"/>
    <w:rsid w:val="006A1BE5"/>
    <w:rsid w:val="00A96272"/>
    <w:rsid w:val="00B63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135F72"/>
  <w15:chartTrackingRefBased/>
  <w15:docId w15:val="{CE092E44-D398-9D46-AA39-7424A83C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4F"/>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6354F"/>
    <w:pPr>
      <w:tabs>
        <w:tab w:val="center" w:pos="4536"/>
        <w:tab w:val="right" w:pos="9072"/>
      </w:tabs>
    </w:pPr>
  </w:style>
  <w:style w:type="character" w:customStyle="1" w:styleId="AltBilgiChar">
    <w:name w:val="Alt Bilgi Char"/>
    <w:basedOn w:val="VarsaylanParagrafYazTipi"/>
    <w:link w:val="AltBilgi"/>
    <w:uiPriority w:val="99"/>
    <w:rsid w:val="00B6354F"/>
    <w:rPr>
      <w:kern w:val="0"/>
      <w14:ligatures w14:val="none"/>
    </w:rPr>
  </w:style>
  <w:style w:type="character" w:styleId="SayfaNumaras">
    <w:name w:val="page number"/>
    <w:basedOn w:val="VarsaylanParagrafYazTipi"/>
    <w:uiPriority w:val="99"/>
    <w:semiHidden/>
    <w:unhideWhenUsed/>
    <w:rsid w:val="00B6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Ali Acu</dc:creator>
  <cp:keywords/>
  <dc:description/>
  <cp:lastModifiedBy>Yasin Ali Acu</cp:lastModifiedBy>
  <cp:revision>1</cp:revision>
  <dcterms:created xsi:type="dcterms:W3CDTF">2023-11-17T09:39:00Z</dcterms:created>
  <dcterms:modified xsi:type="dcterms:W3CDTF">2023-11-17T09:40:00Z</dcterms:modified>
</cp:coreProperties>
</file>